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2013/22 vom 2. Juli 2013</w:t>
      </w:r>
    </w:p>
    <w:p>
      <w:r>
        <w:t>Sg Verwaltungsgericht, 2013-07-02, DE</w:t>
      </w:r>
    </w:p>
    <w:p>
      <w:r>
        <w:rPr>
          <w:b/>
        </w:rPr>
        <w:t xml:space="preserve">Quelle: </w:t>
      </w:r>
      <w:r>
        <w:t>https://mcp.opencaselaw.ch/entscheid/sg_publikationen_B 2013_22</w:t>
      </w:r>
    </w:p>
    <w:p>
      <w:r>
        <w:t>FR: SG_VERWALTUNGSGERICHT B 2013/22 du 2 juillet 2013</w:t>
      </w:r>
    </w:p>
    <w:p>
      <w:r>
        <w:t>IT: SG_VERWALTUNGSGERICHT B 2013/22 del 2 luglio 2013</w:t>
      </w:r>
    </w:p>
    <w:p>
      <w:pPr>
        <w:pStyle w:val="Heading2"/>
      </w:pPr>
      <w:r>
        <w:t>Regeste</w:t>
      </w:r>
    </w:p>
    <w:p>
      <w:r>
        <w:t>Verfahrensrecht, Art. 24 VRP (sGS 951.1).Ein interner Beschluss ohne Verfügungscharakter ist nicht anfechtbar. Die Planungsbehörde hat damit lediglich ihre grundsätzliche Bereitschaft gezeigt, ein Grundstück einzuzonen, und einen Verwaltungsmitarbeiter damit beauftragt, ein Projekt nach ihren Vorgaben auszuarbeiten (Verwaltungsgericht, B 2013/22).</w:t>
      </w:r>
    </w:p>
    <w:p>
      <w:pPr>
        <w:pStyle w:val="Heading2"/>
      </w:pPr>
      <w:r>
        <w:t>Erwägungen</w:t>
      </w:r>
    </w:p>
    <w:p>
      <w:r>
        <w:rPr>
          <w:b/>
        </w:rPr>
        <w:t>E. 2</w:t>
      </w:r>
    </w:p>
    <w:p>
      <w:r>
        <w:t>. Der Rest ist der Grünzone zugeschieden. Die südlichste eingezonte Parzelle Nr. 0000 (Grundbuch Gossau) an der Herisauer Strasse, Kantonsstrasse 2. Klasse, ist der Grünzone Erholung GE zugeteilt. Gemäss Erläuterungsbericht vom 26. Oktober 2006 zum Teilzonenplan und Überbauungsplan Ziff. 7.1. und 8.2.3. soll dieses Grundstück zum Abschluss der Bebauung/Ortseingang bzw. zur Sicherung Lärmschutz und für die Parkierung für Erholungssuchende/Besucher freigehalten werden. Die angrenzende Parzelle Nr. 0001, die mit Gebäuden des ehemaligen Landwirtschaftsbetriebs (Wohnhaus und Scheune) der Erbengemeinschaft überbaut ist, verblieb in der Landwirtschaftszone. B./ Am 2. Januar 2012 erneuerte die Grundeigentümerin das vor bereits zehn Jahren abgelehnte Gesuch, auch das Grundstück Nr. 0001 einzuzonen. Der Stadtrat Gossau erwog an der Sitzung vom 21. März 2012, dass die heutige Überbauung des Grundstücks mit einem (ehemaligen) Bauernhof bzw. einem Wohnhaus und Scheune einen idealen Abschluss des Siedlungsgebiets bilde und den Ortseingang gut markiere. Eine Fortsetzung der Bebauungsstruktur des nördlich angrenzenden Einfamilienhausgebiets gemäss Überbauungsplan Fenn-Geissberg dagegen vermöge den hohen Anforderungen an die Gestaltung und ortsbauliche Eingliederung nicht gleichermassen zu genügen. Die Stadtentwicklungskommission ziehe deshalb eine allfällige Einzonung nur dann in Betracht, wenn eine überzeugende Projektidee vorliege, die in einem Varianzverfahren ermittelt werde, und wenn die Grundeigentümerschaft bereit sei, diese in einem Gestaltungsplan festzulegen. Am 26. März 2012 teilte der Stadtrat der Gesuchstellerin dazu folgenden Beschluss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